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3547D8ED" w:rsidR="00275AE3" w:rsidRPr="00B669A0" w:rsidRDefault="00B669A0" w:rsidP="00B669A0">
      <w:pPr>
        <w:spacing w:after="0"/>
        <w:jc w:val="center"/>
        <w:rPr>
          <w:b/>
          <w:bCs/>
          <w:lang w:val="en-GB"/>
        </w:rPr>
      </w:pPr>
      <w:r w:rsidRPr="00B669A0">
        <w:rPr>
          <w:b/>
          <w:bCs/>
          <w:lang w:val="en-GB"/>
        </w:rPr>
        <w:t>TARGETED STAKEHOLDER CONSULTATION 202</w:t>
      </w:r>
      <w:r w:rsidR="0038485A">
        <w:rPr>
          <w:b/>
          <w:bCs/>
          <w:lang w:val="en-GB"/>
        </w:rPr>
        <w:t>2</w:t>
      </w:r>
      <w:r w:rsidRPr="00B669A0">
        <w:rPr>
          <w:b/>
          <w:bCs/>
          <w:lang w:val="en-GB"/>
        </w:rPr>
        <w:t xml:space="preserve"> RULE OF LAW REPORT</w:t>
      </w:r>
    </w:p>
    <w:p w14:paraId="23699319" w14:textId="575C3A05" w:rsidR="00B669A0" w:rsidRPr="00B669A0" w:rsidRDefault="00B669A0" w:rsidP="00B669A0">
      <w:pPr>
        <w:spacing w:after="0"/>
        <w:jc w:val="center"/>
        <w:rPr>
          <w:b/>
          <w:bCs/>
          <w:lang w:val="en-AU"/>
        </w:rPr>
      </w:pPr>
      <w:r w:rsidRPr="00B669A0">
        <w:rPr>
          <w:b/>
          <w:bCs/>
          <w:lang w:val="en-AU"/>
        </w:rPr>
        <w:t>UN HUMAN RIGHTS REGIONAL OFFICE FOR EUROPE (OHCHR)</w:t>
      </w:r>
    </w:p>
    <w:p w14:paraId="56642246" w14:textId="77777777" w:rsidR="00B669A0" w:rsidRPr="00B669A0" w:rsidRDefault="00B669A0" w:rsidP="00B669A0">
      <w:pPr>
        <w:spacing w:after="0"/>
        <w:rPr>
          <w:b/>
          <w:bCs/>
          <w:lang w:val="en-AU"/>
        </w:rPr>
      </w:pPr>
    </w:p>
    <w:p w14:paraId="465166AB" w14:textId="0608202C" w:rsidR="001B7CA2" w:rsidRPr="0002213A" w:rsidRDefault="00D30DF9" w:rsidP="00B669A0">
      <w:pPr>
        <w:pBdr>
          <w:bottom w:val="single" w:sz="4" w:space="1" w:color="auto"/>
        </w:pBdr>
        <w:rPr>
          <w:b/>
          <w:bCs/>
          <w:lang w:val="en-GB"/>
        </w:rPr>
      </w:pPr>
      <w:r>
        <w:rPr>
          <w:b/>
          <w:lang w:val="en-AU"/>
        </w:rPr>
        <w:t>ROMANIA</w:t>
      </w:r>
      <w:r w:rsidR="005B2F94">
        <w:rPr>
          <w:b/>
          <w:lang w:val="en-AU"/>
        </w:rPr>
        <w:t xml:space="preserve"> </w:t>
      </w:r>
      <w:r w:rsidR="00B669A0" w:rsidRPr="0002213A">
        <w:rPr>
          <w:b/>
          <w:bCs/>
          <w:lang w:val="en-AU"/>
        </w:rPr>
        <w:t>REVIEW</w:t>
      </w:r>
    </w:p>
    <w:p w14:paraId="71CFA76C" w14:textId="03E8C7E0" w:rsidR="00694C36" w:rsidRPr="00B47AEF" w:rsidRDefault="001B7CA2" w:rsidP="001B7CA2">
      <w:pPr>
        <w:rPr>
          <w:lang w:val="en-GB"/>
        </w:rPr>
      </w:pPr>
      <w:r w:rsidRPr="001B7CA2">
        <w:rPr>
          <w:b/>
          <w:bCs/>
          <w:lang w:val="en-GB"/>
        </w:rPr>
        <w:t xml:space="preserve">I. Justice System </w:t>
      </w:r>
    </w:p>
    <w:p w14:paraId="4E024A29" w14:textId="544EE5B8" w:rsidR="001B7CA2" w:rsidRPr="001B7CA2" w:rsidRDefault="001B7CA2" w:rsidP="001B7CA2">
      <w:pPr>
        <w:rPr>
          <w:lang w:val="en-GB"/>
        </w:rPr>
      </w:pPr>
      <w:r w:rsidRPr="001B7CA2">
        <w:rPr>
          <w:b/>
          <w:bCs/>
          <w:i/>
          <w:iCs/>
          <w:lang w:val="en-GB"/>
        </w:rPr>
        <w:t xml:space="preserve">B. Quality of justice </w:t>
      </w:r>
    </w:p>
    <w:p w14:paraId="48E3E95A" w14:textId="0FF7CDFC" w:rsidR="001B7CA2" w:rsidRDefault="001B7CA2" w:rsidP="00FF5A3B">
      <w:pPr>
        <w:spacing w:line="240" w:lineRule="auto"/>
        <w:rPr>
          <w:i/>
          <w:iCs/>
          <w:lang w:val="en-GB"/>
        </w:rPr>
      </w:pPr>
      <w:r w:rsidRPr="001B7CA2">
        <w:rPr>
          <w:i/>
          <w:iCs/>
          <w:lang w:val="en-GB"/>
        </w:rPr>
        <w:t xml:space="preserve">11. Accessibility of courts (e.g. court fees, legal aid, language) </w:t>
      </w:r>
    </w:p>
    <w:p w14:paraId="30A5E8D5" w14:textId="10B306D5" w:rsidR="007B761C" w:rsidRDefault="00B01873" w:rsidP="00527D31">
      <w:pPr>
        <w:spacing w:line="240" w:lineRule="auto"/>
        <w:jc w:val="both"/>
        <w:rPr>
          <w:iCs/>
          <w:lang w:val="en-US"/>
        </w:rPr>
      </w:pPr>
      <w:r w:rsidRPr="00B01873">
        <w:rPr>
          <w:bCs/>
          <w:iCs/>
          <w:lang w:val="en-US"/>
        </w:rPr>
        <w:t>In the report on its 2020 country visit to Romania</w:t>
      </w:r>
      <w:r w:rsidR="000271EE">
        <w:rPr>
          <w:rStyle w:val="FootnoteReference"/>
          <w:bCs/>
          <w:iCs/>
          <w:lang w:val="en-US"/>
        </w:rPr>
        <w:footnoteReference w:id="1"/>
      </w:r>
      <w:r w:rsidRPr="00B01873">
        <w:rPr>
          <w:bCs/>
          <w:iCs/>
          <w:lang w:val="en-US"/>
        </w:rPr>
        <w:t xml:space="preserve">, the UN the Working Group </w:t>
      </w:r>
      <w:r w:rsidR="00D30DF9" w:rsidRPr="00D30DF9">
        <w:rPr>
          <w:bCs/>
          <w:iCs/>
          <w:lang w:val="en-US"/>
        </w:rPr>
        <w:t xml:space="preserve">on discrimination against women and girls </w:t>
      </w:r>
      <w:r>
        <w:rPr>
          <w:bCs/>
          <w:iCs/>
          <w:lang w:val="en-US"/>
        </w:rPr>
        <w:t xml:space="preserve">noted </w:t>
      </w:r>
      <w:r w:rsidR="007B761C" w:rsidRPr="007B761C">
        <w:rPr>
          <w:iCs/>
          <w:lang w:val="en-US"/>
        </w:rPr>
        <w:t>the need for a greater understanding of women’s barriers to acc</w:t>
      </w:r>
      <w:r w:rsidR="00527D31">
        <w:rPr>
          <w:iCs/>
          <w:lang w:val="en-US"/>
        </w:rPr>
        <w:t xml:space="preserve">essing justice and for addressing </w:t>
      </w:r>
      <w:r w:rsidR="007B761C" w:rsidRPr="007B761C">
        <w:rPr>
          <w:iCs/>
          <w:lang w:val="en-US"/>
        </w:rPr>
        <w:t>the inequalities and biases that exist</w:t>
      </w:r>
      <w:r w:rsidR="00792361">
        <w:rPr>
          <w:iCs/>
          <w:lang w:val="en-US"/>
        </w:rPr>
        <w:t>ed</w:t>
      </w:r>
      <w:r w:rsidR="007B761C" w:rsidRPr="007B761C">
        <w:rPr>
          <w:iCs/>
          <w:lang w:val="en-US"/>
        </w:rPr>
        <w:t xml:space="preserve"> at the l</w:t>
      </w:r>
      <w:r w:rsidR="00527D31">
        <w:rPr>
          <w:iCs/>
          <w:lang w:val="en-US"/>
        </w:rPr>
        <w:t>egal and sociocultural level. The</w:t>
      </w:r>
      <w:r w:rsidR="00E46B3F">
        <w:rPr>
          <w:iCs/>
          <w:lang w:val="en-US"/>
        </w:rPr>
        <w:t xml:space="preserve"> Working Group</w:t>
      </w:r>
      <w:r w:rsidR="00A50A4A">
        <w:rPr>
          <w:iCs/>
          <w:lang w:val="en-US"/>
        </w:rPr>
        <w:t xml:space="preserve"> </w:t>
      </w:r>
      <w:r w:rsidR="00527D31">
        <w:rPr>
          <w:iCs/>
          <w:lang w:val="en-US"/>
        </w:rPr>
        <w:t xml:space="preserve">recommended </w:t>
      </w:r>
      <w:r w:rsidR="00E46B3F">
        <w:rPr>
          <w:iCs/>
          <w:lang w:val="en-US"/>
        </w:rPr>
        <w:t>to take measures</w:t>
      </w:r>
      <w:r w:rsidR="00A50A4A">
        <w:rPr>
          <w:iCs/>
          <w:lang w:val="en-US"/>
        </w:rPr>
        <w:t xml:space="preserve"> </w:t>
      </w:r>
      <w:r w:rsidR="007B761C" w:rsidRPr="007B761C">
        <w:rPr>
          <w:iCs/>
          <w:lang w:val="en-US"/>
        </w:rPr>
        <w:t>to build victims’/survivors’ trust in the system and to enhance their security and economic independence, as well as to sensitize relevant authorities by means of gender-sensitive training programmes. Furthermore, investigative efforts must be focused on all relevant evidence, as interlocutors indicated that witnesses were often required for cases of domestic violence, and evidence of physica</w:t>
      </w:r>
      <w:r w:rsidR="00527D31">
        <w:rPr>
          <w:iCs/>
          <w:lang w:val="en-US"/>
        </w:rPr>
        <w:t xml:space="preserve">l injury for cases of rape. </w:t>
      </w:r>
      <w:r w:rsidR="007B761C" w:rsidRPr="007B761C">
        <w:rPr>
          <w:iCs/>
          <w:lang w:val="en-US"/>
        </w:rPr>
        <w:t>The</w:t>
      </w:r>
      <w:r w:rsidR="00527D31">
        <w:rPr>
          <w:iCs/>
          <w:lang w:val="en-US"/>
        </w:rPr>
        <w:t xml:space="preserve"> Working Group noted</w:t>
      </w:r>
      <w:r w:rsidR="00792361">
        <w:rPr>
          <w:iCs/>
          <w:lang w:val="en-US"/>
        </w:rPr>
        <w:t xml:space="preserve"> the impact that NGOs’ work could</w:t>
      </w:r>
      <w:r w:rsidR="007B761C" w:rsidRPr="007B761C">
        <w:rPr>
          <w:iCs/>
          <w:lang w:val="en-US"/>
        </w:rPr>
        <w:t xml:space="preserve"> have on preventing violence against women and assisting victims’/survivors’ access to justice and reintegration into society, particularly in the closed-off rural communities visited. </w:t>
      </w:r>
      <w:r w:rsidR="00527D31">
        <w:rPr>
          <w:iCs/>
          <w:lang w:val="en-US"/>
        </w:rPr>
        <w:t>The Working Group also noted the need for f</w:t>
      </w:r>
      <w:r w:rsidR="00527D31" w:rsidRPr="00527D31">
        <w:rPr>
          <w:iCs/>
          <w:lang w:val="en-US"/>
        </w:rPr>
        <w:t>urther efforts aimed at ensuring access to justice in Roma communities, as the experts were repeatedly informed about the reluctance of authorities to intervene in cases of gender-based violence against Roma women and girls, considering them as the part of “Roma culture”,</w:t>
      </w:r>
      <w:r w:rsidR="00527D31">
        <w:rPr>
          <w:iCs/>
          <w:lang w:val="en-US"/>
        </w:rPr>
        <w:t xml:space="preserve"> thus “ethnicitizing” violence </w:t>
      </w:r>
      <w:r w:rsidRPr="00B01873">
        <w:rPr>
          <w:iCs/>
          <w:lang w:val="en-US"/>
        </w:rPr>
        <w:t>(</w:t>
      </w:r>
      <w:hyperlink r:id="rId8" w:history="1">
        <w:r w:rsidRPr="00B01873">
          <w:rPr>
            <w:rStyle w:val="Hyperlink"/>
            <w:iCs/>
            <w:lang w:val="en-US"/>
          </w:rPr>
          <w:t>A/HRC/47/38/Add.1</w:t>
        </w:r>
      </w:hyperlink>
      <w:r w:rsidRPr="00B01873">
        <w:rPr>
          <w:iCs/>
          <w:lang w:val="en-US"/>
        </w:rPr>
        <w:t>, para</w:t>
      </w:r>
      <w:r w:rsidR="000271EE">
        <w:rPr>
          <w:iCs/>
          <w:lang w:val="en-US"/>
        </w:rPr>
        <w:t>s.</w:t>
      </w:r>
      <w:r w:rsidRPr="00B01873">
        <w:rPr>
          <w:iCs/>
          <w:lang w:val="en-US"/>
        </w:rPr>
        <w:t xml:space="preserve"> </w:t>
      </w:r>
      <w:r w:rsidR="00527D31">
        <w:rPr>
          <w:iCs/>
          <w:lang w:val="en-US"/>
        </w:rPr>
        <w:t>82 -84</w:t>
      </w:r>
      <w:r w:rsidRPr="00B01873">
        <w:rPr>
          <w:iCs/>
          <w:lang w:val="en-US"/>
        </w:rPr>
        <w:t>).</w:t>
      </w:r>
    </w:p>
    <w:p w14:paraId="4EB49DA2" w14:textId="7F41421D" w:rsidR="00694C36" w:rsidRPr="00B47AEF" w:rsidRDefault="000271EE" w:rsidP="00B47AEF">
      <w:pPr>
        <w:spacing w:line="240" w:lineRule="auto"/>
        <w:jc w:val="both"/>
        <w:rPr>
          <w:iCs/>
          <w:lang w:val="en-US"/>
        </w:rPr>
      </w:pPr>
      <w:r w:rsidRPr="000271EE">
        <w:rPr>
          <w:iCs/>
          <w:lang w:val="en-US"/>
        </w:rPr>
        <w:t xml:space="preserve">In April 2021, the Special Rapporteur on the independence of judges and lawyers in his report on “The coronavirus disease (COVID-19) pandemic: impact and challenges for independent justice” indicated that some countries reduced court capacity in line with epidemiological developments. In Romania, petitions could be submitted only by post or email. However, the report by </w:t>
      </w:r>
      <w:r w:rsidR="0008388B">
        <w:rPr>
          <w:iCs/>
          <w:lang w:val="en-US"/>
        </w:rPr>
        <w:t>the Special Rapporteur indicated</w:t>
      </w:r>
      <w:r w:rsidR="00792361">
        <w:rPr>
          <w:iCs/>
          <w:lang w:val="en-US"/>
        </w:rPr>
        <w:t xml:space="preserve"> that court server</w:t>
      </w:r>
      <w:r w:rsidRPr="000271EE">
        <w:rPr>
          <w:iCs/>
          <w:lang w:val="en-US"/>
        </w:rPr>
        <w:t xml:space="preserve"> and email addresses soon became unavai</w:t>
      </w:r>
      <w:r>
        <w:rPr>
          <w:iCs/>
          <w:lang w:val="en-US"/>
        </w:rPr>
        <w:t xml:space="preserve">lable owing to limited capacity. The </w:t>
      </w:r>
      <w:r w:rsidRPr="000271EE">
        <w:rPr>
          <w:iCs/>
          <w:lang w:val="en-US"/>
        </w:rPr>
        <w:t xml:space="preserve">Special Rapporteur </w:t>
      </w:r>
      <w:r>
        <w:rPr>
          <w:iCs/>
          <w:lang w:val="en-US"/>
        </w:rPr>
        <w:t>also noted that the pandemic had</w:t>
      </w:r>
      <w:r w:rsidRPr="000271EE">
        <w:rPr>
          <w:iCs/>
          <w:lang w:val="en-US"/>
        </w:rPr>
        <w:t xml:space="preserve"> caused a sign</w:t>
      </w:r>
      <w:r>
        <w:rPr>
          <w:iCs/>
          <w:lang w:val="en-US"/>
        </w:rPr>
        <w:t>ificant backlog of cases that was</w:t>
      </w:r>
      <w:r w:rsidRPr="000271EE">
        <w:rPr>
          <w:iCs/>
          <w:lang w:val="en-US"/>
        </w:rPr>
        <w:t xml:space="preserve"> impossible to quantify</w:t>
      </w:r>
      <w:r>
        <w:rPr>
          <w:iCs/>
          <w:lang w:val="en-US"/>
        </w:rPr>
        <w:t xml:space="preserve">, but </w:t>
      </w:r>
      <w:r w:rsidRPr="000271EE">
        <w:rPr>
          <w:iCs/>
          <w:lang w:val="en-US"/>
        </w:rPr>
        <w:t>that Romania kept courts open on weekends and holidays to limit delays. (</w:t>
      </w:r>
      <w:hyperlink r:id="rId9" w:history="1">
        <w:r w:rsidR="002D0E80" w:rsidRPr="00C91ABA">
          <w:rPr>
            <w:rStyle w:val="Hyperlink"/>
            <w:rFonts w:cstheme="minorHAnsi"/>
            <w:lang w:val="en-US"/>
          </w:rPr>
          <w:t>A/HRC/47/35</w:t>
        </w:r>
      </w:hyperlink>
      <w:r w:rsidR="002D0E80">
        <w:rPr>
          <w:rStyle w:val="Hyperlink"/>
          <w:rFonts w:cstheme="minorHAnsi"/>
          <w:lang w:val="en-US"/>
        </w:rPr>
        <w:t xml:space="preserve">, </w:t>
      </w:r>
      <w:r w:rsidRPr="000271EE">
        <w:rPr>
          <w:iCs/>
          <w:lang w:val="en-US"/>
        </w:rPr>
        <w:t>para</w:t>
      </w:r>
      <w:r>
        <w:rPr>
          <w:iCs/>
          <w:lang w:val="en-US"/>
        </w:rPr>
        <w:t>s.</w:t>
      </w:r>
      <w:r w:rsidRPr="000271EE">
        <w:rPr>
          <w:iCs/>
          <w:lang w:val="en-US"/>
        </w:rPr>
        <w:t xml:space="preserve"> </w:t>
      </w:r>
      <w:r>
        <w:rPr>
          <w:iCs/>
          <w:lang w:val="en-US"/>
        </w:rPr>
        <w:t xml:space="preserve">46, </w:t>
      </w:r>
      <w:r w:rsidRPr="000271EE">
        <w:rPr>
          <w:iCs/>
          <w:lang w:val="en-US"/>
        </w:rPr>
        <w:t>68)</w:t>
      </w:r>
      <w:r>
        <w:rPr>
          <w:iCs/>
          <w:lang w:val="en-US"/>
        </w:rPr>
        <w:t>.</w:t>
      </w:r>
    </w:p>
    <w:p w14:paraId="021034EF" w14:textId="7FCE9600" w:rsidR="00694C36" w:rsidRDefault="00694C36" w:rsidP="00FF5A3B">
      <w:pPr>
        <w:widowControl w:val="0"/>
        <w:tabs>
          <w:tab w:val="left" w:pos="1216"/>
        </w:tabs>
        <w:autoSpaceDE w:val="0"/>
        <w:autoSpaceDN w:val="0"/>
        <w:spacing w:before="120" w:after="0" w:line="240" w:lineRule="auto"/>
        <w:rPr>
          <w:i/>
          <w:lang w:val="en-US"/>
        </w:rPr>
      </w:pPr>
      <w:r>
        <w:rPr>
          <w:i/>
          <w:lang w:val="en-US"/>
        </w:rPr>
        <w:t>13.</w:t>
      </w:r>
      <w:r w:rsidRPr="00694C36">
        <w:rPr>
          <w:i/>
          <w:lang w:val="en-US"/>
        </w:rPr>
        <w:t>Training of justice professionals (including judges, prosecutors, lawyers, court</w:t>
      </w:r>
      <w:r w:rsidRPr="00694C36">
        <w:rPr>
          <w:i/>
          <w:spacing w:val="-15"/>
          <w:lang w:val="en-US"/>
        </w:rPr>
        <w:t xml:space="preserve"> </w:t>
      </w:r>
      <w:r w:rsidRPr="00694C36">
        <w:rPr>
          <w:i/>
          <w:lang w:val="en-US"/>
        </w:rPr>
        <w:t>staff)</w:t>
      </w:r>
    </w:p>
    <w:p w14:paraId="2FFA113E" w14:textId="66CF9272" w:rsidR="006C2D34" w:rsidRPr="008C5EE6" w:rsidRDefault="006C2D34" w:rsidP="008C5EE6">
      <w:pPr>
        <w:widowControl w:val="0"/>
        <w:tabs>
          <w:tab w:val="left" w:pos="1216"/>
        </w:tabs>
        <w:autoSpaceDE w:val="0"/>
        <w:autoSpaceDN w:val="0"/>
        <w:spacing w:before="120" w:after="0" w:line="240" w:lineRule="auto"/>
        <w:jc w:val="both"/>
        <w:rPr>
          <w:lang w:val="en-US"/>
        </w:rPr>
      </w:pPr>
      <w:r>
        <w:rPr>
          <w:bCs/>
          <w:iCs/>
          <w:lang w:val="en-US"/>
        </w:rPr>
        <w:t>In the report on its 2020 country visit to Romania</w:t>
      </w:r>
      <w:r w:rsidRPr="006C2D34">
        <w:rPr>
          <w:bCs/>
          <w:iCs/>
          <w:lang w:val="en-US"/>
        </w:rPr>
        <w:t xml:space="preserve">, the UN the Working Group </w:t>
      </w:r>
      <w:r w:rsidR="00D30DF9">
        <w:rPr>
          <w:bCs/>
          <w:iCs/>
          <w:lang w:val="en-US"/>
        </w:rPr>
        <w:t xml:space="preserve">on </w:t>
      </w:r>
      <w:r w:rsidR="00D30DF9" w:rsidRPr="00D30DF9">
        <w:rPr>
          <w:bCs/>
          <w:iCs/>
          <w:lang w:val="en-US"/>
        </w:rPr>
        <w:t>discrimination against women and girls</w:t>
      </w:r>
      <w:r w:rsidR="00D30DF9">
        <w:rPr>
          <w:bCs/>
          <w:iCs/>
          <w:lang w:val="en-US"/>
        </w:rPr>
        <w:t xml:space="preserve"> </w:t>
      </w:r>
      <w:r>
        <w:rPr>
          <w:lang w:val="en-US"/>
        </w:rPr>
        <w:t>recommended to p</w:t>
      </w:r>
      <w:r w:rsidRPr="006C2D34">
        <w:rPr>
          <w:lang w:val="en-US"/>
        </w:rPr>
        <w:t xml:space="preserve">rovide </w:t>
      </w:r>
      <w:r w:rsidR="00641255">
        <w:rPr>
          <w:lang w:val="en-US"/>
        </w:rPr>
        <w:t>continuous</w:t>
      </w:r>
      <w:r w:rsidRPr="006C2D34">
        <w:rPr>
          <w:lang w:val="en-US"/>
        </w:rPr>
        <w:t xml:space="preserve"> specialized training </w:t>
      </w:r>
      <w:r>
        <w:rPr>
          <w:lang w:val="en-US"/>
        </w:rPr>
        <w:t xml:space="preserve">for </w:t>
      </w:r>
      <w:r w:rsidRPr="006C2D34">
        <w:rPr>
          <w:lang w:val="en-US"/>
        </w:rPr>
        <w:t>the judiciary on gender</w:t>
      </w:r>
      <w:r w:rsidR="00F07585">
        <w:rPr>
          <w:lang w:val="en-US"/>
        </w:rPr>
        <w:t>-</w:t>
      </w:r>
      <w:r w:rsidRPr="006C2D34">
        <w:rPr>
          <w:lang w:val="en-US"/>
        </w:rPr>
        <w:t xml:space="preserve">based violence </w:t>
      </w:r>
      <w:r w:rsidR="008C5EE6">
        <w:rPr>
          <w:lang w:val="en-US"/>
        </w:rPr>
        <w:t>as well as</w:t>
      </w:r>
      <w:r w:rsidR="008C5EE6" w:rsidRPr="006C2D34">
        <w:rPr>
          <w:lang w:val="en-US"/>
        </w:rPr>
        <w:t xml:space="preserve"> gender-sensitive training to all relevant personnel to support access by survivors of trafficking to justice, and to challenge the negative perceptions that such personnel may hold, particularly of survivors of sexual exploitation</w:t>
      </w:r>
      <w:r w:rsidR="008C5EE6">
        <w:rPr>
          <w:lang w:val="en-US"/>
        </w:rPr>
        <w:t>. The Working Group also encouraged Romania to e</w:t>
      </w:r>
      <w:r w:rsidRPr="006C2D34">
        <w:rPr>
          <w:lang w:val="en-US"/>
        </w:rPr>
        <w:t xml:space="preserve">liminate gender bias in the police and the judiciary and </w:t>
      </w:r>
      <w:r w:rsidR="008C5EE6">
        <w:rPr>
          <w:lang w:val="en-US"/>
        </w:rPr>
        <w:t xml:space="preserve">to </w:t>
      </w:r>
      <w:r w:rsidRPr="006C2D34">
        <w:rPr>
          <w:lang w:val="en-US"/>
        </w:rPr>
        <w:t>ensure that a gender-sensitive perspective is applied in the investigation and prosecution of c</w:t>
      </w:r>
      <w:r w:rsidR="008C5EE6">
        <w:rPr>
          <w:lang w:val="en-US"/>
        </w:rPr>
        <w:t>ases of violence against women (</w:t>
      </w:r>
      <w:hyperlink r:id="rId10" w:history="1">
        <w:r w:rsidR="008C5EE6" w:rsidRPr="008C5EE6">
          <w:rPr>
            <w:rStyle w:val="Hyperlink"/>
            <w:lang w:val="en-US"/>
          </w:rPr>
          <w:t>A/HRC/47/38/Add.1</w:t>
        </w:r>
      </w:hyperlink>
      <w:r w:rsidR="008C5EE6">
        <w:rPr>
          <w:lang w:val="en-US"/>
        </w:rPr>
        <w:t>, para</w:t>
      </w:r>
      <w:r w:rsidR="000271EE">
        <w:rPr>
          <w:lang w:val="en-US"/>
        </w:rPr>
        <w:t>.</w:t>
      </w:r>
      <w:r w:rsidR="008C5EE6">
        <w:rPr>
          <w:lang w:val="en-US"/>
        </w:rPr>
        <w:t xml:space="preserve"> 97 (c, f, p)).</w:t>
      </w:r>
    </w:p>
    <w:p w14:paraId="663EC294" w14:textId="6F71469F" w:rsidR="00FF5A3B" w:rsidRDefault="00FF5A3B" w:rsidP="00FF5A3B">
      <w:pPr>
        <w:widowControl w:val="0"/>
        <w:tabs>
          <w:tab w:val="left" w:pos="1217"/>
        </w:tabs>
        <w:autoSpaceDE w:val="0"/>
        <w:autoSpaceDN w:val="0"/>
        <w:spacing w:before="121" w:after="0" w:line="240" w:lineRule="auto"/>
        <w:ind w:right="425"/>
        <w:rPr>
          <w:i/>
          <w:lang w:val="en-US"/>
        </w:rPr>
      </w:pPr>
    </w:p>
    <w:p w14:paraId="67AF2EDB" w14:textId="1F14DB24" w:rsidR="00792361" w:rsidRDefault="00792361" w:rsidP="00FF5A3B">
      <w:pPr>
        <w:widowControl w:val="0"/>
        <w:tabs>
          <w:tab w:val="left" w:pos="1217"/>
        </w:tabs>
        <w:autoSpaceDE w:val="0"/>
        <w:autoSpaceDN w:val="0"/>
        <w:spacing w:before="121" w:after="0" w:line="240" w:lineRule="auto"/>
        <w:ind w:right="425"/>
        <w:rPr>
          <w:i/>
          <w:lang w:val="en-US"/>
        </w:rPr>
      </w:pPr>
    </w:p>
    <w:p w14:paraId="7E27BC15" w14:textId="6D225B1E" w:rsidR="00792361" w:rsidRDefault="00792361" w:rsidP="00FF5A3B">
      <w:pPr>
        <w:widowControl w:val="0"/>
        <w:tabs>
          <w:tab w:val="left" w:pos="1217"/>
        </w:tabs>
        <w:autoSpaceDE w:val="0"/>
        <w:autoSpaceDN w:val="0"/>
        <w:spacing w:before="121" w:after="0" w:line="240" w:lineRule="auto"/>
        <w:ind w:right="425"/>
        <w:rPr>
          <w:i/>
          <w:lang w:val="en-US"/>
        </w:rPr>
      </w:pPr>
    </w:p>
    <w:p w14:paraId="5A0E8B7A" w14:textId="77777777" w:rsidR="002D0E80" w:rsidRPr="00FF5A3B" w:rsidRDefault="002D0E80" w:rsidP="00FF5A3B">
      <w:pPr>
        <w:widowControl w:val="0"/>
        <w:tabs>
          <w:tab w:val="left" w:pos="1217"/>
        </w:tabs>
        <w:autoSpaceDE w:val="0"/>
        <w:autoSpaceDN w:val="0"/>
        <w:spacing w:before="121" w:after="0" w:line="240" w:lineRule="auto"/>
        <w:ind w:right="425"/>
        <w:rPr>
          <w:i/>
          <w:lang w:val="en-US"/>
        </w:rPr>
      </w:pPr>
      <w:bookmarkStart w:id="0" w:name="_GoBack"/>
      <w:bookmarkEnd w:id="0"/>
    </w:p>
    <w:p w14:paraId="5CD1D694" w14:textId="73D9B284" w:rsidR="001B7CA2" w:rsidRPr="001B7CA2" w:rsidRDefault="001B7CA2" w:rsidP="001B7CA2">
      <w:pPr>
        <w:rPr>
          <w:lang w:val="en-GB"/>
        </w:rPr>
      </w:pPr>
      <w:r w:rsidRPr="001B7CA2">
        <w:rPr>
          <w:b/>
          <w:bCs/>
          <w:i/>
          <w:iCs/>
          <w:lang w:val="en-GB"/>
        </w:rPr>
        <w:lastRenderedPageBreak/>
        <w:t xml:space="preserve">C. Efficiency of the justice system </w:t>
      </w:r>
    </w:p>
    <w:p w14:paraId="22318488" w14:textId="64862F05" w:rsidR="001B7CA2" w:rsidRPr="00CE4C75" w:rsidRDefault="001B7CA2" w:rsidP="001B7CA2">
      <w:pPr>
        <w:rPr>
          <w:rFonts w:cstheme="minorHAnsi"/>
          <w:i/>
          <w:iCs/>
          <w:lang w:val="en-GB"/>
        </w:rPr>
      </w:pPr>
      <w:r w:rsidRPr="001B7CA2">
        <w:rPr>
          <w:i/>
          <w:iCs/>
          <w:lang w:val="en-GB"/>
        </w:rPr>
        <w:t xml:space="preserve">17. Length of proceedings </w:t>
      </w:r>
    </w:p>
    <w:p w14:paraId="60B62A00" w14:textId="1950864B" w:rsidR="001B7CA2" w:rsidRDefault="001B7CA2" w:rsidP="001B7CA2">
      <w:pPr>
        <w:rPr>
          <w:b/>
          <w:bCs/>
          <w:i/>
          <w:iCs/>
          <w:lang w:val="en-GB"/>
        </w:rPr>
      </w:pPr>
      <w:r w:rsidRPr="009D1508">
        <w:rPr>
          <w:b/>
          <w:bCs/>
          <w:i/>
          <w:iCs/>
          <w:lang w:val="en-GB"/>
        </w:rPr>
        <w:t xml:space="preserve">Other – please specify </w:t>
      </w:r>
    </w:p>
    <w:p w14:paraId="413C9AD3" w14:textId="3334B880" w:rsidR="005B2F94" w:rsidRPr="00B01873" w:rsidRDefault="00B01873" w:rsidP="0008388B">
      <w:pPr>
        <w:jc w:val="both"/>
        <w:rPr>
          <w:bCs/>
          <w:iCs/>
          <w:lang w:val="en-US"/>
        </w:rPr>
      </w:pPr>
      <w:r w:rsidRPr="00B01873">
        <w:rPr>
          <w:bCs/>
          <w:i/>
          <w:iCs/>
          <w:lang w:val="en-US"/>
        </w:rPr>
        <w:t>The case of</w:t>
      </w:r>
      <w:r w:rsidRPr="00B01873">
        <w:rPr>
          <w:i/>
          <w:lang w:val="en-US"/>
        </w:rPr>
        <w:t xml:space="preserve"> </w:t>
      </w:r>
      <w:r w:rsidRPr="00B01873">
        <w:rPr>
          <w:bCs/>
          <w:i/>
          <w:iCs/>
          <w:lang w:val="en-US"/>
        </w:rPr>
        <w:t>Mr Robert Roșu</w:t>
      </w:r>
      <w:r>
        <w:rPr>
          <w:bCs/>
          <w:iCs/>
          <w:lang w:val="en-US"/>
        </w:rPr>
        <w:t xml:space="preserve"> -  In January </w:t>
      </w:r>
      <w:r w:rsidRPr="00B01873">
        <w:rPr>
          <w:bCs/>
          <w:iCs/>
          <w:lang w:val="en-US"/>
        </w:rPr>
        <w:t xml:space="preserve">2021, the Special Rapporteur on the independence judges and lawyers entered in a dialogue with </w:t>
      </w:r>
      <w:r>
        <w:rPr>
          <w:bCs/>
          <w:iCs/>
          <w:lang w:val="en-US"/>
        </w:rPr>
        <w:t>Romania to express serious concern</w:t>
      </w:r>
      <w:r w:rsidRPr="00B01873">
        <w:rPr>
          <w:bCs/>
          <w:iCs/>
          <w:lang w:val="en-US"/>
        </w:rPr>
        <w:t xml:space="preserve"> at the sentencing of Mr. Robert Roșu to </w:t>
      </w:r>
      <w:r w:rsidR="00E46B3F">
        <w:rPr>
          <w:bCs/>
          <w:iCs/>
          <w:lang w:val="en-US"/>
        </w:rPr>
        <w:t>five</w:t>
      </w:r>
      <w:r w:rsidRPr="00B01873">
        <w:rPr>
          <w:bCs/>
          <w:iCs/>
          <w:lang w:val="en-US"/>
        </w:rPr>
        <w:t xml:space="preserve"> years of imprisonment, allegedly as a result of the legitimate exercise of his professional functions. </w:t>
      </w:r>
      <w:r w:rsidR="00E46B3F">
        <w:rPr>
          <w:bCs/>
          <w:iCs/>
          <w:lang w:val="en-US"/>
        </w:rPr>
        <w:t xml:space="preserve">The Special Rapporteur </w:t>
      </w:r>
      <w:r>
        <w:rPr>
          <w:bCs/>
          <w:iCs/>
          <w:lang w:val="en-US"/>
        </w:rPr>
        <w:t>underlined the fact that t</w:t>
      </w:r>
      <w:r w:rsidRPr="00B01873">
        <w:rPr>
          <w:bCs/>
          <w:iCs/>
          <w:lang w:val="en-US"/>
        </w:rPr>
        <w:t xml:space="preserve">he decision of the HCCJ of 17 December 2020, which found the defendant guilty of </w:t>
      </w:r>
      <w:r w:rsidR="00D30DF9" w:rsidRPr="00B01873">
        <w:rPr>
          <w:bCs/>
          <w:iCs/>
          <w:lang w:val="en-US"/>
        </w:rPr>
        <w:t>organizing</w:t>
      </w:r>
      <w:r w:rsidRPr="00B01873">
        <w:rPr>
          <w:bCs/>
          <w:iCs/>
          <w:lang w:val="en-US"/>
        </w:rPr>
        <w:t xml:space="preserve"> a criminal group and complicity</w:t>
      </w:r>
      <w:r w:rsidR="00792361">
        <w:rPr>
          <w:bCs/>
          <w:iCs/>
          <w:lang w:val="en-US"/>
        </w:rPr>
        <w:t xml:space="preserve"> in abuse of office, contradicted</w:t>
      </w:r>
      <w:r w:rsidRPr="00B01873">
        <w:rPr>
          <w:bCs/>
          <w:iCs/>
          <w:lang w:val="en-US"/>
        </w:rPr>
        <w:t xml:space="preserve"> the earlier decision of the Judge of Rights and Liberties of the Criminal Division of the HCCJ, which </w:t>
      </w:r>
      <w:r w:rsidR="00792361">
        <w:rPr>
          <w:bCs/>
          <w:iCs/>
          <w:lang w:val="en-US"/>
        </w:rPr>
        <w:t xml:space="preserve">had </w:t>
      </w:r>
      <w:r w:rsidRPr="00B01873">
        <w:rPr>
          <w:bCs/>
          <w:iCs/>
          <w:lang w:val="en-US"/>
        </w:rPr>
        <w:t>found the conduct of Mr Roșu to be in line with the limits of the activities normally carried out by a lawye</w:t>
      </w:r>
      <w:r>
        <w:rPr>
          <w:bCs/>
          <w:iCs/>
          <w:lang w:val="en-US"/>
        </w:rPr>
        <w:t xml:space="preserve">r. </w:t>
      </w:r>
      <w:r w:rsidR="00E46B3F">
        <w:rPr>
          <w:bCs/>
          <w:iCs/>
          <w:lang w:val="en-US"/>
        </w:rPr>
        <w:t>The Special Rapporteur</w:t>
      </w:r>
      <w:r>
        <w:rPr>
          <w:bCs/>
          <w:iCs/>
          <w:lang w:val="en-US"/>
        </w:rPr>
        <w:t xml:space="preserve"> noted that i</w:t>
      </w:r>
      <w:r w:rsidRPr="00B01873">
        <w:rPr>
          <w:bCs/>
          <w:iCs/>
          <w:lang w:val="en-US"/>
        </w:rPr>
        <w:t>n the absence of any additional element proving the criminal responsibility of</w:t>
      </w:r>
      <w:r w:rsidR="00792361">
        <w:rPr>
          <w:bCs/>
          <w:iCs/>
          <w:lang w:val="en-US"/>
        </w:rPr>
        <w:t xml:space="preserve"> Mr Roșu, his sentencing appeared</w:t>
      </w:r>
      <w:r w:rsidRPr="00B01873">
        <w:rPr>
          <w:bCs/>
          <w:iCs/>
          <w:lang w:val="en-US"/>
        </w:rPr>
        <w:t xml:space="preserve"> to constitute an intimidation and a sanction for the legitimate activities he performed in favour of his client, in breach of </w:t>
      </w:r>
      <w:r>
        <w:rPr>
          <w:bCs/>
          <w:iCs/>
          <w:lang w:val="en-US"/>
        </w:rPr>
        <w:t xml:space="preserve">recognized </w:t>
      </w:r>
      <w:r w:rsidRPr="00B01873">
        <w:rPr>
          <w:bCs/>
          <w:iCs/>
          <w:lang w:val="en-US"/>
        </w:rPr>
        <w:t>standards that prohibit</w:t>
      </w:r>
      <w:r w:rsidR="00792361">
        <w:rPr>
          <w:bCs/>
          <w:iCs/>
          <w:lang w:val="en-US"/>
        </w:rPr>
        <w:t>ed</w:t>
      </w:r>
      <w:r w:rsidRPr="00B01873">
        <w:rPr>
          <w:bCs/>
          <w:iCs/>
          <w:lang w:val="en-US"/>
        </w:rPr>
        <w:t xml:space="preserve"> the identification of lawyers with their c</w:t>
      </w:r>
      <w:r>
        <w:rPr>
          <w:bCs/>
          <w:iCs/>
          <w:lang w:val="en-US"/>
        </w:rPr>
        <w:t>lients or their clients’ causes (</w:t>
      </w:r>
      <w:hyperlink r:id="rId11" w:tgtFrame="Com_25884" w:history="1">
        <w:r w:rsidR="0008388B" w:rsidRPr="00B01873">
          <w:rPr>
            <w:rStyle w:val="Hyperlink"/>
            <w:bCs/>
            <w:iCs/>
            <w:lang w:val="en-US"/>
          </w:rPr>
          <w:t>ROU 1/2021</w:t>
        </w:r>
      </w:hyperlink>
      <w:r w:rsidR="0008388B">
        <w:rPr>
          <w:bCs/>
          <w:iCs/>
          <w:lang w:val="en-US"/>
        </w:rPr>
        <w:t xml:space="preserve">, available at </w:t>
      </w:r>
      <w:hyperlink r:id="rId12" w:history="1">
        <w:r w:rsidR="0008388B" w:rsidRPr="008F03C0">
          <w:rPr>
            <w:rStyle w:val="Hyperlink"/>
            <w:bCs/>
            <w:iCs/>
            <w:lang w:val="en-US"/>
          </w:rPr>
          <w:t>https://spcommreports.ohchr.org/TmSearch/Results</w:t>
        </w:r>
      </w:hyperlink>
      <w:r w:rsidR="0008388B">
        <w:rPr>
          <w:bCs/>
          <w:iCs/>
          <w:lang w:val="en-US"/>
        </w:rPr>
        <w:t xml:space="preserve">). </w:t>
      </w:r>
    </w:p>
    <w:p w14:paraId="6AC1EDE9" w14:textId="77777777" w:rsidR="001B7CA2" w:rsidRPr="001B7CA2" w:rsidRDefault="001B7CA2" w:rsidP="001B7CA2">
      <w:pPr>
        <w:rPr>
          <w:lang w:val="en-GB"/>
        </w:rPr>
      </w:pPr>
      <w:r w:rsidRPr="001B7CA2">
        <w:rPr>
          <w:b/>
          <w:bCs/>
          <w:lang w:val="en-GB"/>
        </w:rPr>
        <w:t xml:space="preserve">IV. Other institutional issues related to checks and balances </w:t>
      </w:r>
    </w:p>
    <w:p w14:paraId="237B9B4B" w14:textId="77777777" w:rsidR="001B7CA2" w:rsidRPr="001B7CA2" w:rsidRDefault="001B7CA2" w:rsidP="001B7CA2">
      <w:pPr>
        <w:rPr>
          <w:lang w:val="en-GB"/>
        </w:rPr>
      </w:pPr>
      <w:r w:rsidRPr="001B7CA2">
        <w:rPr>
          <w:b/>
          <w:bCs/>
          <w:i/>
          <w:iCs/>
          <w:lang w:val="en-GB"/>
        </w:rPr>
        <w:t xml:space="preserve">B. Independent authorities </w:t>
      </w:r>
    </w:p>
    <w:p w14:paraId="25D40A66" w14:textId="6A44586A" w:rsidR="001B7CA2" w:rsidRDefault="001B7CA2" w:rsidP="001B7CA2">
      <w:pPr>
        <w:rPr>
          <w:i/>
          <w:iCs/>
          <w:lang w:val="en-GB"/>
        </w:rPr>
      </w:pPr>
      <w:r w:rsidRPr="001B7CA2">
        <w:rPr>
          <w:i/>
          <w:iCs/>
          <w:lang w:val="en-GB"/>
        </w:rPr>
        <w:t>4</w:t>
      </w:r>
      <w:r w:rsidR="00DC49B7">
        <w:rPr>
          <w:i/>
          <w:iCs/>
          <w:lang w:val="en-GB"/>
        </w:rPr>
        <w:t>3</w:t>
      </w:r>
      <w:r w:rsidRPr="001B7CA2">
        <w:rPr>
          <w:i/>
          <w:iCs/>
          <w:lang w:val="en-GB"/>
        </w:rPr>
        <w:t>. Independence, capacity and powers of national human rights institutions (‘NHRIs’), of ombudsman institutions if different from NHRIs, of equality bodies if different from NHRIs and of supreme audit institutions</w:t>
      </w:r>
    </w:p>
    <w:p w14:paraId="5B00DA56" w14:textId="6CD8FDC0" w:rsidR="00DC45F4" w:rsidRPr="00DC45F4" w:rsidRDefault="008C5EE6" w:rsidP="00F82E92">
      <w:pPr>
        <w:jc w:val="both"/>
        <w:rPr>
          <w:iCs/>
          <w:lang w:val="en-US"/>
        </w:rPr>
      </w:pPr>
      <w:r w:rsidRPr="008C5EE6">
        <w:rPr>
          <w:bCs/>
          <w:iCs/>
          <w:lang w:val="en-US"/>
        </w:rPr>
        <w:t xml:space="preserve">In the report on its 2020 country visit to Romania, the UN the Working Group </w:t>
      </w:r>
      <w:r w:rsidR="00D30DF9" w:rsidRPr="00D30DF9">
        <w:rPr>
          <w:bCs/>
          <w:iCs/>
          <w:lang w:val="en-US"/>
        </w:rPr>
        <w:t xml:space="preserve">on discrimination against women and girls </w:t>
      </w:r>
      <w:r>
        <w:rPr>
          <w:bCs/>
          <w:iCs/>
          <w:lang w:val="en-US"/>
        </w:rPr>
        <w:t xml:space="preserve">observed that </w:t>
      </w:r>
      <w:r w:rsidR="007B761C" w:rsidRPr="007B761C">
        <w:rPr>
          <w:iCs/>
          <w:lang w:val="en-US"/>
        </w:rPr>
        <w:t xml:space="preserve">the recommendation made in 2017 by the Committee on the Elimination of Discrimination against Women to ensure that the Institute </w:t>
      </w:r>
      <w:r w:rsidRPr="008C5EE6">
        <w:rPr>
          <w:iCs/>
          <w:lang w:val="en-US"/>
        </w:rPr>
        <w:t>for Human Rights</w:t>
      </w:r>
      <w:r>
        <w:rPr>
          <w:iCs/>
          <w:lang w:val="en-US"/>
        </w:rPr>
        <w:t xml:space="preserve"> </w:t>
      </w:r>
      <w:r w:rsidR="007B761C" w:rsidRPr="007B761C">
        <w:rPr>
          <w:iCs/>
          <w:lang w:val="en-US"/>
        </w:rPr>
        <w:t xml:space="preserve">is in full compliance with </w:t>
      </w:r>
      <w:r w:rsidR="00D30DF9">
        <w:rPr>
          <w:iCs/>
          <w:lang w:val="en-US"/>
        </w:rPr>
        <w:t>the Paris Principles</w:t>
      </w:r>
      <w:r w:rsidR="007B761C" w:rsidRPr="007B761C">
        <w:rPr>
          <w:iCs/>
          <w:lang w:val="en-US"/>
        </w:rPr>
        <w:t>, in particular with regard to its mandate to protect women’s rights and promote gender equa</w:t>
      </w:r>
      <w:r w:rsidR="00792361">
        <w:rPr>
          <w:iCs/>
          <w:lang w:val="en-US"/>
        </w:rPr>
        <w:t>lity, was</w:t>
      </w:r>
      <w:r>
        <w:rPr>
          <w:iCs/>
          <w:lang w:val="en-US"/>
        </w:rPr>
        <w:t xml:space="preserve"> yet to be implemented.</w:t>
      </w:r>
      <w:r w:rsidR="00792361">
        <w:rPr>
          <w:iCs/>
          <w:lang w:val="en-US"/>
        </w:rPr>
        <w:t xml:space="preserve"> The relevant draft law remained</w:t>
      </w:r>
      <w:r w:rsidR="007B761C" w:rsidRPr="007B761C">
        <w:rPr>
          <w:iCs/>
          <w:lang w:val="en-US"/>
        </w:rPr>
        <w:t xml:space="preserve"> pending.</w:t>
      </w:r>
      <w:r w:rsidR="007B761C">
        <w:rPr>
          <w:iCs/>
          <w:lang w:val="en-US"/>
        </w:rPr>
        <w:t xml:space="preserve"> </w:t>
      </w:r>
      <w:r>
        <w:rPr>
          <w:iCs/>
          <w:lang w:val="en-US"/>
        </w:rPr>
        <w:t xml:space="preserve"> The Working Group recommended to strengthen </w:t>
      </w:r>
      <w:r w:rsidR="007B761C" w:rsidRPr="007B761C">
        <w:rPr>
          <w:iCs/>
          <w:lang w:val="en-US"/>
        </w:rPr>
        <w:t>human rights institutions – the Ombudsperson, the National Council for Combating Discrimination and the Romanian Institute for Human Rights – by ensuring their independence and allocati</w:t>
      </w:r>
      <w:r>
        <w:rPr>
          <w:iCs/>
          <w:lang w:val="en-US"/>
        </w:rPr>
        <w:t>ng sufficient resources to them</w:t>
      </w:r>
      <w:r w:rsidRPr="008C5EE6">
        <w:rPr>
          <w:iCs/>
          <w:lang w:val="en-US"/>
        </w:rPr>
        <w:t xml:space="preserve"> (</w:t>
      </w:r>
      <w:hyperlink r:id="rId13" w:history="1">
        <w:r w:rsidRPr="008C5EE6">
          <w:rPr>
            <w:rStyle w:val="Hyperlink"/>
            <w:iCs/>
            <w:lang w:val="en-US"/>
          </w:rPr>
          <w:t>A/HRC/47/38/Add.1</w:t>
        </w:r>
      </w:hyperlink>
      <w:r>
        <w:rPr>
          <w:iCs/>
          <w:lang w:val="en-US"/>
        </w:rPr>
        <w:t>, para</w:t>
      </w:r>
      <w:r w:rsidR="000271EE">
        <w:rPr>
          <w:iCs/>
          <w:lang w:val="en-US"/>
        </w:rPr>
        <w:t>s.</w:t>
      </w:r>
      <w:r>
        <w:rPr>
          <w:iCs/>
          <w:lang w:val="en-US"/>
        </w:rPr>
        <w:t xml:space="preserve"> 19, </w:t>
      </w:r>
      <w:r w:rsidR="00F82E92" w:rsidRPr="00F82E92">
        <w:rPr>
          <w:iCs/>
          <w:lang w:val="en-US"/>
        </w:rPr>
        <w:t xml:space="preserve">92 (iii) </w:t>
      </w:r>
      <w:r w:rsidR="00F82E92">
        <w:rPr>
          <w:iCs/>
          <w:lang w:val="en-US"/>
        </w:rPr>
        <w:t>(iii</w:t>
      </w:r>
      <w:r w:rsidRPr="008C5EE6">
        <w:rPr>
          <w:iCs/>
          <w:lang w:val="en-US"/>
        </w:rPr>
        <w:t>)).</w:t>
      </w:r>
    </w:p>
    <w:p w14:paraId="2081FC02" w14:textId="77777777" w:rsidR="001B7CA2" w:rsidRPr="001B7CA2" w:rsidRDefault="001B7CA2" w:rsidP="001B7CA2">
      <w:pPr>
        <w:rPr>
          <w:lang w:val="en-GB"/>
        </w:rPr>
      </w:pPr>
      <w:r w:rsidRPr="001B7CA2">
        <w:rPr>
          <w:b/>
          <w:bCs/>
          <w:i/>
          <w:iCs/>
          <w:lang w:val="en-GB"/>
        </w:rPr>
        <w:t xml:space="preserve">D. The enabling framework for civil society </w:t>
      </w:r>
    </w:p>
    <w:p w14:paraId="44AF2087" w14:textId="4F92F769" w:rsidR="000B034D" w:rsidRDefault="000B034D" w:rsidP="001B7CA2">
      <w:pPr>
        <w:rPr>
          <w:rStyle w:val="lblnewsfulltext"/>
          <w:rFonts w:cstheme="minorHAnsi"/>
          <w:i/>
          <w:iCs/>
          <w:lang w:val="en-US"/>
        </w:rPr>
      </w:pPr>
      <w:r w:rsidRPr="000B034D">
        <w:rPr>
          <w:rStyle w:val="lblnewsfulltext"/>
          <w:rFonts w:cstheme="minorHAnsi"/>
          <w:lang w:val="en-US"/>
        </w:rPr>
        <w:t>4</w:t>
      </w:r>
      <w:r>
        <w:rPr>
          <w:rStyle w:val="lblnewsfulltext"/>
          <w:rFonts w:cstheme="minorHAnsi"/>
          <w:lang w:val="en-US"/>
        </w:rPr>
        <w:t>6</w:t>
      </w:r>
      <w:r w:rsidRPr="000B034D">
        <w:rPr>
          <w:rStyle w:val="lblnewsfulltext"/>
          <w:rFonts w:cstheme="minorHAnsi"/>
          <w:lang w:val="en-US"/>
        </w:rPr>
        <w:t>.</w:t>
      </w:r>
      <w:r w:rsidRPr="000B034D">
        <w:rPr>
          <w:rStyle w:val="lblnewsfulltext"/>
          <w:rFonts w:cstheme="minorHAnsi"/>
          <w:lang w:val="en-US"/>
        </w:rPr>
        <w:tab/>
      </w:r>
      <w:r w:rsidRPr="000B034D">
        <w:rPr>
          <w:rStyle w:val="lblnewsfulltext"/>
          <w:rFonts w:cstheme="minorHAnsi"/>
          <w:i/>
          <w:iCs/>
          <w:lang w:val="en-US"/>
        </w:rPr>
        <w:t>Rules and practices guaranteeing the effective operation of civil society organisations and rights defenders</w:t>
      </w:r>
    </w:p>
    <w:p w14:paraId="19F29770" w14:textId="330A34C8" w:rsidR="00DC45F4" w:rsidRPr="00B47AEF" w:rsidRDefault="00F82E92" w:rsidP="00B47AEF">
      <w:pPr>
        <w:jc w:val="both"/>
        <w:rPr>
          <w:rFonts w:cstheme="minorHAnsi"/>
          <w:iCs/>
          <w:lang w:val="en-US"/>
        </w:rPr>
      </w:pPr>
      <w:r w:rsidRPr="00F82E92">
        <w:rPr>
          <w:rFonts w:cstheme="minorHAnsi"/>
          <w:bCs/>
          <w:iCs/>
          <w:lang w:val="en-US"/>
        </w:rPr>
        <w:t xml:space="preserve">In the report on its 2020 country visit to Romania, the UN the Working Group </w:t>
      </w:r>
      <w:r w:rsidR="00D30DF9" w:rsidRPr="00D30DF9">
        <w:rPr>
          <w:rFonts w:cstheme="minorHAnsi"/>
          <w:bCs/>
          <w:iCs/>
          <w:lang w:val="en-US"/>
        </w:rPr>
        <w:t xml:space="preserve">on discrimination against women and girls </w:t>
      </w:r>
      <w:r>
        <w:rPr>
          <w:rFonts w:cstheme="minorHAnsi"/>
          <w:bCs/>
          <w:iCs/>
          <w:lang w:val="en-US"/>
        </w:rPr>
        <w:t xml:space="preserve">welcomed </w:t>
      </w:r>
      <w:r w:rsidRPr="00F82E92">
        <w:rPr>
          <w:rFonts w:cstheme="minorHAnsi"/>
          <w:lang w:val="en-US"/>
        </w:rPr>
        <w:t xml:space="preserve">the fact that in some municipalities, such as Mizil, local authorities have been cooperating with grass-roots organizations of women and girls of Roma communities, which has positively impacted on the living conditions of the communities. </w:t>
      </w:r>
      <w:r w:rsidR="00792361">
        <w:rPr>
          <w:rFonts w:cstheme="minorHAnsi"/>
          <w:lang w:val="en-US"/>
        </w:rPr>
        <w:t>It</w:t>
      </w:r>
      <w:r>
        <w:rPr>
          <w:rFonts w:cstheme="minorHAnsi"/>
          <w:lang w:val="en-US"/>
        </w:rPr>
        <w:t xml:space="preserve"> stated that s</w:t>
      </w:r>
      <w:r w:rsidRPr="00F82E92">
        <w:rPr>
          <w:rFonts w:cstheme="minorHAnsi"/>
          <w:lang w:val="en-US"/>
        </w:rPr>
        <w:t xml:space="preserve">uch collaborations should be encouraged as a good practice throughout the country. </w:t>
      </w:r>
      <w:r>
        <w:rPr>
          <w:rFonts w:cstheme="minorHAnsi"/>
          <w:lang w:val="en-US"/>
        </w:rPr>
        <w:t>The Working Group also noted that g</w:t>
      </w:r>
      <w:r w:rsidRPr="00F82E92">
        <w:rPr>
          <w:rFonts w:cstheme="minorHAnsi"/>
          <w:lang w:val="en-US"/>
        </w:rPr>
        <w:t>irls’ organizing and participation has been on the rise in the country. In light of the key role that women’s and girls’ organizations and networks play</w:t>
      </w:r>
      <w:r w:rsidR="00792361">
        <w:rPr>
          <w:rFonts w:cstheme="minorHAnsi"/>
          <w:lang w:val="en-US"/>
        </w:rPr>
        <w:t>ed</w:t>
      </w:r>
      <w:r w:rsidRPr="00F82E92">
        <w:rPr>
          <w:rFonts w:cstheme="minorHAnsi"/>
          <w:lang w:val="en-US"/>
        </w:rPr>
        <w:t xml:space="preserve"> in protecting human rights, these should be granted adequate public resources and be included in policymaking. A nurturing environme</w:t>
      </w:r>
      <w:r w:rsidR="00792361">
        <w:rPr>
          <w:rFonts w:cstheme="minorHAnsi"/>
          <w:lang w:val="en-US"/>
        </w:rPr>
        <w:t>nt for their participation needed</w:t>
      </w:r>
      <w:r w:rsidRPr="00F82E92">
        <w:rPr>
          <w:rFonts w:cstheme="minorHAnsi"/>
          <w:lang w:val="en-US"/>
        </w:rPr>
        <w:t xml:space="preserve"> to be ensured and </w:t>
      </w:r>
      <w:r w:rsidR="00792361">
        <w:rPr>
          <w:rFonts w:cstheme="minorHAnsi"/>
          <w:lang w:val="en-US"/>
        </w:rPr>
        <w:t>any harassment of activists had to</w:t>
      </w:r>
      <w:r w:rsidRPr="00F82E92">
        <w:rPr>
          <w:rFonts w:cstheme="minorHAnsi"/>
          <w:lang w:val="en-US"/>
        </w:rPr>
        <w:t xml:space="preserve"> be prevented and sanctioned. </w:t>
      </w:r>
      <w:r>
        <w:rPr>
          <w:rFonts w:cstheme="minorHAnsi"/>
          <w:lang w:val="en-US"/>
        </w:rPr>
        <w:t>The</w:t>
      </w:r>
      <w:r w:rsidR="00E46B3F">
        <w:rPr>
          <w:rFonts w:cstheme="minorHAnsi"/>
          <w:lang w:val="en-US"/>
        </w:rPr>
        <w:t xml:space="preserve"> Working Group</w:t>
      </w:r>
      <w:r>
        <w:rPr>
          <w:rFonts w:cstheme="minorHAnsi"/>
          <w:lang w:val="en-US"/>
        </w:rPr>
        <w:t xml:space="preserve"> recommended to a</w:t>
      </w:r>
      <w:r w:rsidRPr="00F82E92">
        <w:rPr>
          <w:rFonts w:cstheme="minorHAnsi"/>
          <w:lang w:val="en-US"/>
        </w:rPr>
        <w:t xml:space="preserve">llocate public funding to support the work of </w:t>
      </w:r>
      <w:r w:rsidRPr="00F82E92">
        <w:rPr>
          <w:rFonts w:cstheme="minorHAnsi"/>
          <w:lang w:val="en-US"/>
        </w:rPr>
        <w:lastRenderedPageBreak/>
        <w:t>women’s rights organizations and girls’ networks and establish effective mechanisms for cooperation by central and local authorities with them throughout the country</w:t>
      </w:r>
      <w:r>
        <w:rPr>
          <w:rFonts w:cstheme="minorHAnsi"/>
          <w:iCs/>
          <w:lang w:val="en-US"/>
        </w:rPr>
        <w:t xml:space="preserve">, </w:t>
      </w:r>
      <w:r w:rsidR="000271EE" w:rsidRPr="000271EE">
        <w:rPr>
          <w:rFonts w:cstheme="minorHAnsi"/>
          <w:iCs/>
          <w:lang w:val="en-US"/>
        </w:rPr>
        <w:t>(</w:t>
      </w:r>
      <w:hyperlink r:id="rId14" w:history="1">
        <w:r w:rsidR="000271EE" w:rsidRPr="000271EE">
          <w:rPr>
            <w:rStyle w:val="Hyperlink"/>
            <w:rFonts w:cstheme="minorHAnsi"/>
            <w:iCs/>
            <w:lang w:val="en-US"/>
          </w:rPr>
          <w:t>A/HRC/47/38/Add.1</w:t>
        </w:r>
      </w:hyperlink>
      <w:r w:rsidR="000271EE">
        <w:rPr>
          <w:rFonts w:cstheme="minorHAnsi"/>
          <w:iCs/>
          <w:lang w:val="en-US"/>
        </w:rPr>
        <w:t xml:space="preserve">, </w:t>
      </w:r>
      <w:r>
        <w:rPr>
          <w:rFonts w:cstheme="minorHAnsi"/>
          <w:iCs/>
          <w:lang w:val="en-US"/>
        </w:rPr>
        <w:t>para</w:t>
      </w:r>
      <w:r w:rsidR="000271EE">
        <w:rPr>
          <w:rFonts w:cstheme="minorHAnsi"/>
          <w:iCs/>
          <w:lang w:val="en-US"/>
        </w:rPr>
        <w:t>s.</w:t>
      </w:r>
      <w:r>
        <w:rPr>
          <w:rFonts w:cstheme="minorHAnsi"/>
          <w:iCs/>
          <w:lang w:val="en-US"/>
        </w:rPr>
        <w:t xml:space="preserve"> 2</w:t>
      </w:r>
      <w:r w:rsidRPr="00F82E92">
        <w:rPr>
          <w:rFonts w:cstheme="minorHAnsi"/>
          <w:iCs/>
          <w:lang w:val="en-US"/>
        </w:rPr>
        <w:t xml:space="preserve">9, </w:t>
      </w:r>
      <w:r>
        <w:rPr>
          <w:rFonts w:cstheme="minorHAnsi"/>
          <w:iCs/>
          <w:lang w:val="en-US"/>
        </w:rPr>
        <w:t>30, 93 (d))</w:t>
      </w:r>
      <w:r w:rsidR="00B47AEF">
        <w:rPr>
          <w:rFonts w:cstheme="minorHAnsi"/>
          <w:iCs/>
          <w:lang w:val="en-US"/>
        </w:rPr>
        <w:t xml:space="preserve">. </w:t>
      </w:r>
    </w:p>
    <w:p w14:paraId="3170F293" w14:textId="2A2421EF" w:rsidR="008C7A94" w:rsidRPr="008C7A94" w:rsidRDefault="008C7A94" w:rsidP="00E7579B">
      <w:pPr>
        <w:jc w:val="both"/>
        <w:rPr>
          <w:rFonts w:eastAsia="Calibri" w:cstheme="minorHAnsi"/>
          <w:sz w:val="20"/>
          <w:szCs w:val="24"/>
          <w:lang w:val="en-GB"/>
        </w:rPr>
      </w:pPr>
    </w:p>
    <w:sectPr w:rsidR="008C7A94" w:rsidRPr="008C7A94">
      <w:footerReference w:type="default" r:id="rId15"/>
      <w:endnotePr>
        <w:numFmt w:val="decimal"/>
      </w:endnotePr>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BAA59" w16cex:dateUtc="2022-02-07T1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8B16CD" w16cid:durableId="25ABAA5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D4CEF" w14:textId="77777777" w:rsidR="00E87A82" w:rsidRDefault="00E87A82" w:rsidP="00AB6BD8">
      <w:pPr>
        <w:spacing w:after="0" w:line="240" w:lineRule="auto"/>
      </w:pPr>
      <w:r>
        <w:separator/>
      </w:r>
    </w:p>
  </w:endnote>
  <w:endnote w:type="continuationSeparator" w:id="0">
    <w:p w14:paraId="07C6625B" w14:textId="77777777" w:rsidR="00E87A82" w:rsidRDefault="00E87A82"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08F2AB0A" w:rsidR="00ED7A10" w:rsidRDefault="00ED7A10">
        <w:pPr>
          <w:pStyle w:val="Footer"/>
          <w:jc w:val="center"/>
        </w:pPr>
        <w:r>
          <w:fldChar w:fldCharType="begin"/>
        </w:r>
        <w:r>
          <w:instrText>PAGE   \* MERGEFORMAT</w:instrText>
        </w:r>
        <w:r>
          <w:fldChar w:fldCharType="separate"/>
        </w:r>
        <w:r w:rsidR="002D0E80" w:rsidRPr="002D0E80">
          <w:rPr>
            <w:noProof/>
            <w:lang w:val="fr-FR"/>
          </w:rPr>
          <w:t>2</w:t>
        </w:r>
        <w:r>
          <w:fldChar w:fldCharType="end"/>
        </w:r>
      </w:p>
    </w:sdtContent>
  </w:sdt>
  <w:p w14:paraId="1E65FFBB" w14:textId="77777777" w:rsidR="00ED7A10" w:rsidRDefault="00ED7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32A12" w14:textId="77777777" w:rsidR="00E87A82" w:rsidRDefault="00E87A82" w:rsidP="00AB6BD8">
      <w:pPr>
        <w:spacing w:after="0" w:line="240" w:lineRule="auto"/>
      </w:pPr>
      <w:r>
        <w:separator/>
      </w:r>
    </w:p>
  </w:footnote>
  <w:footnote w:type="continuationSeparator" w:id="0">
    <w:p w14:paraId="6F9E2FDF" w14:textId="77777777" w:rsidR="00E87A82" w:rsidRDefault="00E87A82" w:rsidP="00AB6BD8">
      <w:pPr>
        <w:spacing w:after="0" w:line="240" w:lineRule="auto"/>
      </w:pPr>
      <w:r>
        <w:continuationSeparator/>
      </w:r>
    </w:p>
  </w:footnote>
  <w:footnote w:id="1">
    <w:p w14:paraId="39F51A26" w14:textId="0571BEB9" w:rsidR="000271EE" w:rsidRPr="000271EE" w:rsidRDefault="000271EE">
      <w:pPr>
        <w:pStyle w:val="FootnoteText"/>
        <w:rPr>
          <w:lang w:val="en-US"/>
        </w:rPr>
      </w:pPr>
      <w:r>
        <w:rPr>
          <w:rStyle w:val="FootnoteReference"/>
        </w:rPr>
        <w:footnoteRef/>
      </w:r>
      <w:r w:rsidRPr="000271EE">
        <w:rPr>
          <w:lang w:val="en-US"/>
        </w:rPr>
        <w:t xml:space="preserve"> </w:t>
      </w:r>
      <w:r>
        <w:rPr>
          <w:lang w:val="en-GB"/>
        </w:rPr>
        <w:t>T</w:t>
      </w:r>
      <w:r w:rsidRPr="000271EE">
        <w:rPr>
          <w:lang w:val="en-GB"/>
        </w:rPr>
        <w:t>he report was released in 2021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794CE63E"/>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3" w15:restartNumberingAfterBreak="0">
    <w:nsid w:val="52426AD4"/>
    <w:multiLevelType w:val="hybridMultilevel"/>
    <w:tmpl w:val="1690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136FE3"/>
    <w:multiLevelType w:val="hybridMultilevel"/>
    <w:tmpl w:val="0736FCEE"/>
    <w:lvl w:ilvl="0" w:tplc="040C000F">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5A319AF"/>
    <w:multiLevelType w:val="hybridMultilevel"/>
    <w:tmpl w:val="F26A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7" w15:restartNumberingAfterBreak="0">
    <w:nsid w:val="5F353FAD"/>
    <w:multiLevelType w:val="hybridMultilevel"/>
    <w:tmpl w:val="12B03D2A"/>
    <w:lvl w:ilvl="0" w:tplc="0E9E32F4">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D66480"/>
    <w:multiLevelType w:val="hybridMultilevel"/>
    <w:tmpl w:val="3C5012E0"/>
    <w:lvl w:ilvl="0" w:tplc="040C000F">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6686066"/>
    <w:multiLevelType w:val="hybridMultilevel"/>
    <w:tmpl w:val="54023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046DDE"/>
    <w:multiLevelType w:val="hybridMultilevel"/>
    <w:tmpl w:val="72464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381198"/>
    <w:multiLevelType w:val="hybridMultilevel"/>
    <w:tmpl w:val="58FC22E6"/>
    <w:lvl w:ilvl="0" w:tplc="0DFE1564">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0AB072B8">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abstractNum w:abstractNumId="12"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6"/>
  </w:num>
  <w:num w:numId="2">
    <w:abstractNumId w:val="12"/>
  </w:num>
  <w:num w:numId="3">
    <w:abstractNumId w:val="2"/>
  </w:num>
  <w:num w:numId="4">
    <w:abstractNumId w:val="1"/>
  </w:num>
  <w:num w:numId="5">
    <w:abstractNumId w:val="3"/>
  </w:num>
  <w:num w:numId="6">
    <w:abstractNumId w:val="5"/>
  </w:num>
  <w:num w:numId="7">
    <w:abstractNumId w:val="10"/>
  </w:num>
  <w:num w:numId="8">
    <w:abstractNumId w:val="9"/>
  </w:num>
  <w:num w:numId="9">
    <w:abstractNumId w:val="11"/>
  </w:num>
  <w:num w:numId="10">
    <w:abstractNumId w:val="4"/>
  </w:num>
  <w:num w:numId="11">
    <w:abstractNumId w:val="0"/>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FR" w:vendorID="64" w:dllVersion="0" w:nlCheck="1" w:checkStyle="0"/>
  <w:activeWritingStyle w:appName="MSWord" w:lang="fr-BE" w:vendorID="64" w:dllVersion="0" w:nlCheck="1" w:checkStyle="0"/>
  <w:activeWritingStyle w:appName="MSWord" w:lang="en-GB" w:vendorID="64" w:dllVersion="131078" w:nlCheck="1" w:checkStyle="1"/>
  <w:activeWritingStyle w:appName="MSWord" w:lang="en-US" w:vendorID="64" w:dllVersion="131078" w:nlCheck="1" w:checkStyle="1"/>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213A"/>
    <w:rsid w:val="00024911"/>
    <w:rsid w:val="000271EE"/>
    <w:rsid w:val="000555C4"/>
    <w:rsid w:val="0008388B"/>
    <w:rsid w:val="00094650"/>
    <w:rsid w:val="000A5CFF"/>
    <w:rsid w:val="000B034D"/>
    <w:rsid w:val="000C26A1"/>
    <w:rsid w:val="000D06BF"/>
    <w:rsid w:val="000E3E0A"/>
    <w:rsid w:val="000E4ACA"/>
    <w:rsid w:val="000E4D1E"/>
    <w:rsid w:val="000E58CC"/>
    <w:rsid w:val="000F2CCA"/>
    <w:rsid w:val="000F7447"/>
    <w:rsid w:val="000F74F4"/>
    <w:rsid w:val="00102288"/>
    <w:rsid w:val="00125B2C"/>
    <w:rsid w:val="00137F92"/>
    <w:rsid w:val="00144770"/>
    <w:rsid w:val="00147BF9"/>
    <w:rsid w:val="0015004A"/>
    <w:rsid w:val="00152098"/>
    <w:rsid w:val="00165AFF"/>
    <w:rsid w:val="001868E0"/>
    <w:rsid w:val="00195595"/>
    <w:rsid w:val="001A17C6"/>
    <w:rsid w:val="001B7CA2"/>
    <w:rsid w:val="001C79A2"/>
    <w:rsid w:val="001C7CCF"/>
    <w:rsid w:val="001E08DC"/>
    <w:rsid w:val="001E0C79"/>
    <w:rsid w:val="001E2105"/>
    <w:rsid w:val="002057FA"/>
    <w:rsid w:val="00206A47"/>
    <w:rsid w:val="00221C79"/>
    <w:rsid w:val="00231F28"/>
    <w:rsid w:val="00235A91"/>
    <w:rsid w:val="002430D2"/>
    <w:rsid w:val="0024664D"/>
    <w:rsid w:val="00251082"/>
    <w:rsid w:val="00252C8E"/>
    <w:rsid w:val="002668EA"/>
    <w:rsid w:val="00275AE3"/>
    <w:rsid w:val="00293C29"/>
    <w:rsid w:val="00294805"/>
    <w:rsid w:val="002953FF"/>
    <w:rsid w:val="002969C5"/>
    <w:rsid w:val="002C15AB"/>
    <w:rsid w:val="002C4AD7"/>
    <w:rsid w:val="002D0E80"/>
    <w:rsid w:val="002D45D1"/>
    <w:rsid w:val="0030165D"/>
    <w:rsid w:val="00334386"/>
    <w:rsid w:val="003619BB"/>
    <w:rsid w:val="00364DD8"/>
    <w:rsid w:val="00383787"/>
    <w:rsid w:val="003843E1"/>
    <w:rsid w:val="0038485A"/>
    <w:rsid w:val="003B4F07"/>
    <w:rsid w:val="003B74F2"/>
    <w:rsid w:val="003D7999"/>
    <w:rsid w:val="003F19B1"/>
    <w:rsid w:val="004013B8"/>
    <w:rsid w:val="00405880"/>
    <w:rsid w:val="00410982"/>
    <w:rsid w:val="00445679"/>
    <w:rsid w:val="00447DF5"/>
    <w:rsid w:val="00451BE5"/>
    <w:rsid w:val="00462100"/>
    <w:rsid w:val="004753B7"/>
    <w:rsid w:val="004809CC"/>
    <w:rsid w:val="00491A44"/>
    <w:rsid w:val="004A0573"/>
    <w:rsid w:val="004A4D25"/>
    <w:rsid w:val="004B60DD"/>
    <w:rsid w:val="004C0B1F"/>
    <w:rsid w:val="004E2A0C"/>
    <w:rsid w:val="004E5D2F"/>
    <w:rsid w:val="005078D2"/>
    <w:rsid w:val="005248FE"/>
    <w:rsid w:val="00527D31"/>
    <w:rsid w:val="00561741"/>
    <w:rsid w:val="00572CAC"/>
    <w:rsid w:val="00572D29"/>
    <w:rsid w:val="00576122"/>
    <w:rsid w:val="00592F7B"/>
    <w:rsid w:val="005936DA"/>
    <w:rsid w:val="00595A34"/>
    <w:rsid w:val="005A53B1"/>
    <w:rsid w:val="005B2F94"/>
    <w:rsid w:val="005C4199"/>
    <w:rsid w:val="005D7D02"/>
    <w:rsid w:val="00600F16"/>
    <w:rsid w:val="0061181D"/>
    <w:rsid w:val="00621476"/>
    <w:rsid w:val="00633DEB"/>
    <w:rsid w:val="00641255"/>
    <w:rsid w:val="0064596A"/>
    <w:rsid w:val="00656276"/>
    <w:rsid w:val="0066480F"/>
    <w:rsid w:val="00694C36"/>
    <w:rsid w:val="006B2EEF"/>
    <w:rsid w:val="006C2D34"/>
    <w:rsid w:val="006F10BF"/>
    <w:rsid w:val="00726393"/>
    <w:rsid w:val="00727F69"/>
    <w:rsid w:val="00735997"/>
    <w:rsid w:val="0074007C"/>
    <w:rsid w:val="007467E2"/>
    <w:rsid w:val="00746F14"/>
    <w:rsid w:val="00753FA0"/>
    <w:rsid w:val="00792361"/>
    <w:rsid w:val="0079724B"/>
    <w:rsid w:val="007B761C"/>
    <w:rsid w:val="007D7490"/>
    <w:rsid w:val="007F1F30"/>
    <w:rsid w:val="007F529E"/>
    <w:rsid w:val="0080379C"/>
    <w:rsid w:val="00812CA6"/>
    <w:rsid w:val="00815599"/>
    <w:rsid w:val="00820269"/>
    <w:rsid w:val="00824724"/>
    <w:rsid w:val="0083739F"/>
    <w:rsid w:val="00843B2D"/>
    <w:rsid w:val="008526FE"/>
    <w:rsid w:val="008628EF"/>
    <w:rsid w:val="00867498"/>
    <w:rsid w:val="00867CBB"/>
    <w:rsid w:val="0088139C"/>
    <w:rsid w:val="008A1B74"/>
    <w:rsid w:val="008A7229"/>
    <w:rsid w:val="008B50CB"/>
    <w:rsid w:val="008B5DE9"/>
    <w:rsid w:val="008C4411"/>
    <w:rsid w:val="008C5EE6"/>
    <w:rsid w:val="008C7A94"/>
    <w:rsid w:val="008D7F8C"/>
    <w:rsid w:val="008E4FD7"/>
    <w:rsid w:val="008E537C"/>
    <w:rsid w:val="008F5F0F"/>
    <w:rsid w:val="008F689A"/>
    <w:rsid w:val="008F72D1"/>
    <w:rsid w:val="00916B8E"/>
    <w:rsid w:val="0092144F"/>
    <w:rsid w:val="00923EBE"/>
    <w:rsid w:val="009441AD"/>
    <w:rsid w:val="00951DEB"/>
    <w:rsid w:val="00952884"/>
    <w:rsid w:val="00962913"/>
    <w:rsid w:val="0096772C"/>
    <w:rsid w:val="00991323"/>
    <w:rsid w:val="00997215"/>
    <w:rsid w:val="009C040C"/>
    <w:rsid w:val="009C6B9F"/>
    <w:rsid w:val="009D1508"/>
    <w:rsid w:val="009E48E9"/>
    <w:rsid w:val="00A1060B"/>
    <w:rsid w:val="00A118BB"/>
    <w:rsid w:val="00A2011E"/>
    <w:rsid w:val="00A33884"/>
    <w:rsid w:val="00A50A4A"/>
    <w:rsid w:val="00A8576F"/>
    <w:rsid w:val="00A9273D"/>
    <w:rsid w:val="00A95DE7"/>
    <w:rsid w:val="00AB2E69"/>
    <w:rsid w:val="00AB39DD"/>
    <w:rsid w:val="00AB4073"/>
    <w:rsid w:val="00AB6BD8"/>
    <w:rsid w:val="00AD14BD"/>
    <w:rsid w:val="00AD5BC2"/>
    <w:rsid w:val="00AE13F5"/>
    <w:rsid w:val="00AE2845"/>
    <w:rsid w:val="00AE6CEF"/>
    <w:rsid w:val="00AE7958"/>
    <w:rsid w:val="00AF151B"/>
    <w:rsid w:val="00AF33F6"/>
    <w:rsid w:val="00AF4734"/>
    <w:rsid w:val="00AF6778"/>
    <w:rsid w:val="00B01873"/>
    <w:rsid w:val="00B06121"/>
    <w:rsid w:val="00B1077E"/>
    <w:rsid w:val="00B16891"/>
    <w:rsid w:val="00B3376B"/>
    <w:rsid w:val="00B4482C"/>
    <w:rsid w:val="00B47AEF"/>
    <w:rsid w:val="00B54E3F"/>
    <w:rsid w:val="00B62A6D"/>
    <w:rsid w:val="00B669A0"/>
    <w:rsid w:val="00B837B5"/>
    <w:rsid w:val="00B8626C"/>
    <w:rsid w:val="00B92E78"/>
    <w:rsid w:val="00B94426"/>
    <w:rsid w:val="00BB67D7"/>
    <w:rsid w:val="00BC1D9A"/>
    <w:rsid w:val="00BF199A"/>
    <w:rsid w:val="00C206C5"/>
    <w:rsid w:val="00C21B69"/>
    <w:rsid w:val="00C25048"/>
    <w:rsid w:val="00C34944"/>
    <w:rsid w:val="00C357C2"/>
    <w:rsid w:val="00C46DCD"/>
    <w:rsid w:val="00C5007B"/>
    <w:rsid w:val="00C91D1B"/>
    <w:rsid w:val="00CB73BB"/>
    <w:rsid w:val="00CC6B37"/>
    <w:rsid w:val="00CD1815"/>
    <w:rsid w:val="00CD7A88"/>
    <w:rsid w:val="00CE4C75"/>
    <w:rsid w:val="00CF698C"/>
    <w:rsid w:val="00D002BC"/>
    <w:rsid w:val="00D027D9"/>
    <w:rsid w:val="00D17788"/>
    <w:rsid w:val="00D30DF9"/>
    <w:rsid w:val="00D6657B"/>
    <w:rsid w:val="00D76481"/>
    <w:rsid w:val="00D776C3"/>
    <w:rsid w:val="00D848D8"/>
    <w:rsid w:val="00D87626"/>
    <w:rsid w:val="00DA2342"/>
    <w:rsid w:val="00DC04CC"/>
    <w:rsid w:val="00DC2228"/>
    <w:rsid w:val="00DC36E4"/>
    <w:rsid w:val="00DC45F4"/>
    <w:rsid w:val="00DC49B7"/>
    <w:rsid w:val="00DC5B32"/>
    <w:rsid w:val="00DD1A75"/>
    <w:rsid w:val="00DD51BC"/>
    <w:rsid w:val="00DE2240"/>
    <w:rsid w:val="00DF181A"/>
    <w:rsid w:val="00E14E2A"/>
    <w:rsid w:val="00E33076"/>
    <w:rsid w:val="00E46B3F"/>
    <w:rsid w:val="00E70E81"/>
    <w:rsid w:val="00E732E5"/>
    <w:rsid w:val="00E7390A"/>
    <w:rsid w:val="00E7579B"/>
    <w:rsid w:val="00E75F98"/>
    <w:rsid w:val="00E85BC4"/>
    <w:rsid w:val="00E86BDB"/>
    <w:rsid w:val="00E87A2E"/>
    <w:rsid w:val="00E87A82"/>
    <w:rsid w:val="00E92C99"/>
    <w:rsid w:val="00E93B13"/>
    <w:rsid w:val="00E943EC"/>
    <w:rsid w:val="00EA5201"/>
    <w:rsid w:val="00EA5FF0"/>
    <w:rsid w:val="00EB0581"/>
    <w:rsid w:val="00ED5335"/>
    <w:rsid w:val="00ED7A10"/>
    <w:rsid w:val="00EE6A52"/>
    <w:rsid w:val="00EF2BDF"/>
    <w:rsid w:val="00EF36D6"/>
    <w:rsid w:val="00EF4DF8"/>
    <w:rsid w:val="00F07585"/>
    <w:rsid w:val="00F23F37"/>
    <w:rsid w:val="00F464F2"/>
    <w:rsid w:val="00F7351E"/>
    <w:rsid w:val="00F767DF"/>
    <w:rsid w:val="00F7725E"/>
    <w:rsid w:val="00F82E92"/>
    <w:rsid w:val="00FE1807"/>
    <w:rsid w:val="00FF410C"/>
    <w:rsid w:val="00FF5A3B"/>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C68F1EC3-8FFB-4F2F-ABA3-12EB3CEFA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C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aliases w:val="6_G"/>
    <w:basedOn w:val="Normal"/>
    <w:link w:val="HeaderChar"/>
    <w:unhideWhenUsed/>
    <w:rsid w:val="00997215"/>
    <w:pPr>
      <w:tabs>
        <w:tab w:val="center" w:pos="4536"/>
        <w:tab w:val="right" w:pos="9072"/>
      </w:tabs>
      <w:spacing w:after="0" w:line="240" w:lineRule="auto"/>
    </w:pPr>
  </w:style>
  <w:style w:type="character" w:customStyle="1" w:styleId="HeaderChar">
    <w:name w:val="Header Char"/>
    <w:aliases w:val="6_G Char"/>
    <w:basedOn w:val="DefaultParagraphFont"/>
    <w:link w:val="Header"/>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styleId="Strong">
    <w:name w:val="Strong"/>
    <w:basedOn w:val="DefaultParagraphFont"/>
    <w:uiPriority w:val="22"/>
    <w:qFormat/>
    <w:rsid w:val="00EA5201"/>
    <w:rPr>
      <w:b/>
      <w:bCs/>
    </w:rPr>
  </w:style>
  <w:style w:type="character" w:customStyle="1" w:styleId="highlight">
    <w:name w:val="highlight"/>
    <w:basedOn w:val="DefaultParagraphFont"/>
    <w:rsid w:val="00B06121"/>
  </w:style>
  <w:style w:type="character" w:customStyle="1" w:styleId="lblnewsfulltext">
    <w:name w:val="lblnewsfulltext"/>
    <w:basedOn w:val="DefaultParagraphFont"/>
    <w:rsid w:val="00252C8E"/>
  </w:style>
  <w:style w:type="paragraph" w:styleId="Revision">
    <w:name w:val="Revision"/>
    <w:hidden/>
    <w:uiPriority w:val="99"/>
    <w:semiHidden/>
    <w:rsid w:val="00AB2E6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424652">
      <w:bodyDiv w:val="1"/>
      <w:marLeft w:val="0"/>
      <w:marRight w:val="0"/>
      <w:marTop w:val="0"/>
      <w:marBottom w:val="0"/>
      <w:divBdr>
        <w:top w:val="none" w:sz="0" w:space="0" w:color="auto"/>
        <w:left w:val="none" w:sz="0" w:space="0" w:color="auto"/>
        <w:bottom w:val="none" w:sz="0" w:space="0" w:color="auto"/>
        <w:right w:val="none" w:sz="0" w:space="0" w:color="auto"/>
      </w:divBdr>
    </w:div>
    <w:div w:id="227153055">
      <w:bodyDiv w:val="1"/>
      <w:marLeft w:val="0"/>
      <w:marRight w:val="0"/>
      <w:marTop w:val="0"/>
      <w:marBottom w:val="0"/>
      <w:divBdr>
        <w:top w:val="none" w:sz="0" w:space="0" w:color="auto"/>
        <w:left w:val="none" w:sz="0" w:space="0" w:color="auto"/>
        <w:bottom w:val="none" w:sz="0" w:space="0" w:color="auto"/>
        <w:right w:val="none" w:sz="0" w:space="0" w:color="auto"/>
      </w:divBdr>
    </w:div>
    <w:div w:id="431096799">
      <w:bodyDiv w:val="1"/>
      <w:marLeft w:val="0"/>
      <w:marRight w:val="0"/>
      <w:marTop w:val="0"/>
      <w:marBottom w:val="0"/>
      <w:divBdr>
        <w:top w:val="none" w:sz="0" w:space="0" w:color="auto"/>
        <w:left w:val="none" w:sz="0" w:space="0" w:color="auto"/>
        <w:bottom w:val="none" w:sz="0" w:space="0" w:color="auto"/>
        <w:right w:val="none" w:sz="0" w:space="0" w:color="auto"/>
      </w:divBdr>
    </w:div>
    <w:div w:id="572281851">
      <w:bodyDiv w:val="1"/>
      <w:marLeft w:val="0"/>
      <w:marRight w:val="0"/>
      <w:marTop w:val="0"/>
      <w:marBottom w:val="0"/>
      <w:divBdr>
        <w:top w:val="none" w:sz="0" w:space="0" w:color="auto"/>
        <w:left w:val="none" w:sz="0" w:space="0" w:color="auto"/>
        <w:bottom w:val="none" w:sz="0" w:space="0" w:color="auto"/>
        <w:right w:val="none" w:sz="0" w:space="0" w:color="auto"/>
      </w:divBdr>
    </w:div>
    <w:div w:id="606960067">
      <w:bodyDiv w:val="1"/>
      <w:marLeft w:val="0"/>
      <w:marRight w:val="0"/>
      <w:marTop w:val="0"/>
      <w:marBottom w:val="0"/>
      <w:divBdr>
        <w:top w:val="none" w:sz="0" w:space="0" w:color="auto"/>
        <w:left w:val="none" w:sz="0" w:space="0" w:color="auto"/>
        <w:bottom w:val="none" w:sz="0" w:space="0" w:color="auto"/>
        <w:right w:val="none" w:sz="0" w:space="0" w:color="auto"/>
      </w:divBdr>
    </w:div>
    <w:div w:id="636879311">
      <w:bodyDiv w:val="1"/>
      <w:marLeft w:val="0"/>
      <w:marRight w:val="0"/>
      <w:marTop w:val="0"/>
      <w:marBottom w:val="0"/>
      <w:divBdr>
        <w:top w:val="none" w:sz="0" w:space="0" w:color="auto"/>
        <w:left w:val="none" w:sz="0" w:space="0" w:color="auto"/>
        <w:bottom w:val="none" w:sz="0" w:space="0" w:color="auto"/>
        <w:right w:val="none" w:sz="0" w:space="0" w:color="auto"/>
      </w:divBdr>
    </w:div>
    <w:div w:id="655256740">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827405766">
      <w:bodyDiv w:val="1"/>
      <w:marLeft w:val="0"/>
      <w:marRight w:val="0"/>
      <w:marTop w:val="0"/>
      <w:marBottom w:val="0"/>
      <w:divBdr>
        <w:top w:val="none" w:sz="0" w:space="0" w:color="auto"/>
        <w:left w:val="none" w:sz="0" w:space="0" w:color="auto"/>
        <w:bottom w:val="none" w:sz="0" w:space="0" w:color="auto"/>
        <w:right w:val="none" w:sz="0" w:space="0" w:color="auto"/>
      </w:divBdr>
    </w:div>
    <w:div w:id="1099107142">
      <w:bodyDiv w:val="1"/>
      <w:marLeft w:val="0"/>
      <w:marRight w:val="0"/>
      <w:marTop w:val="0"/>
      <w:marBottom w:val="0"/>
      <w:divBdr>
        <w:top w:val="none" w:sz="0" w:space="0" w:color="auto"/>
        <w:left w:val="none" w:sz="0" w:space="0" w:color="auto"/>
        <w:bottom w:val="none" w:sz="0" w:space="0" w:color="auto"/>
        <w:right w:val="none" w:sz="0" w:space="0" w:color="auto"/>
      </w:divBdr>
    </w:div>
    <w:div w:id="1201548804">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771968622">
      <w:bodyDiv w:val="1"/>
      <w:marLeft w:val="0"/>
      <w:marRight w:val="0"/>
      <w:marTop w:val="0"/>
      <w:marBottom w:val="0"/>
      <w:divBdr>
        <w:top w:val="none" w:sz="0" w:space="0" w:color="auto"/>
        <w:left w:val="none" w:sz="0" w:space="0" w:color="auto"/>
        <w:bottom w:val="none" w:sz="0" w:space="0" w:color="auto"/>
        <w:right w:val="none" w:sz="0" w:space="0" w:color="auto"/>
      </w:divBdr>
      <w:divsChild>
        <w:div w:id="13072819">
          <w:marLeft w:val="0"/>
          <w:marRight w:val="0"/>
          <w:marTop w:val="0"/>
          <w:marBottom w:val="0"/>
          <w:divBdr>
            <w:top w:val="none" w:sz="0" w:space="0" w:color="auto"/>
            <w:left w:val="none" w:sz="0" w:space="0" w:color="auto"/>
            <w:bottom w:val="none" w:sz="0" w:space="0" w:color="auto"/>
            <w:right w:val="none" w:sz="0" w:space="0" w:color="auto"/>
          </w:divBdr>
          <w:divsChild>
            <w:div w:id="1741442774">
              <w:marLeft w:val="0"/>
              <w:marRight w:val="0"/>
              <w:marTop w:val="0"/>
              <w:marBottom w:val="0"/>
              <w:divBdr>
                <w:top w:val="none" w:sz="0" w:space="0" w:color="auto"/>
                <w:left w:val="none" w:sz="0" w:space="0" w:color="auto"/>
                <w:bottom w:val="none" w:sz="0" w:space="0" w:color="auto"/>
                <w:right w:val="none" w:sz="0" w:space="0" w:color="auto"/>
              </w:divBdr>
              <w:divsChild>
                <w:div w:id="1070736896">
                  <w:marLeft w:val="0"/>
                  <w:marRight w:val="0"/>
                  <w:marTop w:val="0"/>
                  <w:marBottom w:val="0"/>
                  <w:divBdr>
                    <w:top w:val="none" w:sz="0" w:space="0" w:color="auto"/>
                    <w:left w:val="none" w:sz="0" w:space="0" w:color="auto"/>
                    <w:bottom w:val="none" w:sz="0" w:space="0" w:color="auto"/>
                    <w:right w:val="none" w:sz="0" w:space="0" w:color="auto"/>
                  </w:divBdr>
                  <w:divsChild>
                    <w:div w:id="1873766135">
                      <w:marLeft w:val="0"/>
                      <w:marRight w:val="0"/>
                      <w:marTop w:val="0"/>
                      <w:marBottom w:val="0"/>
                      <w:divBdr>
                        <w:top w:val="none" w:sz="0" w:space="0" w:color="auto"/>
                        <w:left w:val="none" w:sz="0" w:space="0" w:color="auto"/>
                        <w:bottom w:val="none" w:sz="0" w:space="0" w:color="auto"/>
                        <w:right w:val="none" w:sz="0" w:space="0" w:color="auto"/>
                      </w:divBdr>
                      <w:divsChild>
                        <w:div w:id="656300078">
                          <w:marLeft w:val="1200"/>
                          <w:marRight w:val="1200"/>
                          <w:marTop w:val="150"/>
                          <w:marBottom w:val="150"/>
                          <w:divBdr>
                            <w:top w:val="none" w:sz="0" w:space="0" w:color="auto"/>
                            <w:left w:val="none" w:sz="0" w:space="0" w:color="auto"/>
                            <w:bottom w:val="none" w:sz="0" w:space="0" w:color="auto"/>
                            <w:right w:val="none" w:sz="0" w:space="0" w:color="auto"/>
                          </w:divBdr>
                          <w:divsChild>
                            <w:div w:id="188844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ndocs.org/A/HRC/47/38/Add.1" TargetMode="External"/><Relationship Id="rId13" Type="http://schemas.openxmlformats.org/officeDocument/2006/relationships/hyperlink" Target="https://undocs.org/A/HRC/47/38/Add.1"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commreports.ohchr.org/TmSearch/Result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commreports.ohchr.org/TMResultsBase/DownLoadPublicCommunicationFile?gId=25884"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undocs.org/A/HRC/47/38/Add.1"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s://undocs.org/A/HRC/47/35" TargetMode="External"/><Relationship Id="rId14" Type="http://schemas.openxmlformats.org/officeDocument/2006/relationships/hyperlink" Target="https://undocs.org/A/HRC/47/38/Add.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2B015-E126-42B6-AD52-E0DBF5187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1102</Words>
  <Characters>6282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 Human Rights Regional Office for Europe (OHCHR)</dc:creator>
  <cp:keywords/>
  <dc:description/>
  <cp:lastModifiedBy>ROE</cp:lastModifiedBy>
  <cp:revision>2</cp:revision>
  <dcterms:created xsi:type="dcterms:W3CDTF">2022-02-07T14:34:00Z</dcterms:created>
  <dcterms:modified xsi:type="dcterms:W3CDTF">2022-02-07T14:34:00Z</dcterms:modified>
</cp:coreProperties>
</file>